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7" w:rsidRPr="00E40867" w:rsidRDefault="00E40867" w:rsidP="0017143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bookmarkStart w:id="0" w:name="_GoBack"/>
      <w:bookmarkEnd w:id="0"/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171434" w:rsidRDefault="00E40867" w:rsidP="003669ED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3669ED" w:rsidRPr="003669ED">
        <w:rPr>
          <w:rStyle w:val="a4"/>
          <w:rFonts w:ascii="Times New Roman" w:hAnsi="Times New Roman" w:cs="Times New Roman"/>
        </w:rPr>
        <w:t>конкурса-выставки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</w:p>
    <w:p w:rsidR="003669ED" w:rsidRPr="00227289" w:rsidRDefault="003669ED" w:rsidP="003669ED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950CE3">
        <w:rPr>
          <w:sz w:val="22"/>
          <w:szCs w:val="22"/>
        </w:rPr>
        <w:t>10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950CE3">
        <w:rPr>
          <w:sz w:val="22"/>
          <w:szCs w:val="22"/>
        </w:rPr>
        <w:t>октября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</w:t>
      </w:r>
      <w:r w:rsidR="003669ED" w:rsidRPr="003669ED">
        <w:rPr>
          <w:rFonts w:ascii="Times New Roman" w:hAnsi="Times New Roman" w:cs="Times New Roman"/>
        </w:rPr>
        <w:t>конкурс</w:t>
      </w:r>
      <w:r w:rsidR="003669ED">
        <w:rPr>
          <w:rFonts w:ascii="Times New Roman" w:hAnsi="Times New Roman" w:cs="Times New Roman"/>
        </w:rPr>
        <w:t>а</w:t>
      </w:r>
      <w:r w:rsidR="003669ED" w:rsidRPr="003669ED">
        <w:rPr>
          <w:rFonts w:ascii="Times New Roman" w:hAnsi="Times New Roman" w:cs="Times New Roman"/>
        </w:rPr>
        <w:t>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  <w:r w:rsidRPr="00950CE3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3669ED" w:rsidRDefault="00E40867" w:rsidP="00171434">
      <w:pPr>
        <w:suppressAutoHyphens/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3669ED" w:rsidRPr="003669ED">
        <w:rPr>
          <w:rFonts w:ascii="Times New Roman" w:hAnsi="Times New Roman" w:cs="Times New Roman"/>
        </w:rPr>
        <w:t>конкурс</w:t>
      </w:r>
      <w:r w:rsidR="003669ED">
        <w:rPr>
          <w:rFonts w:ascii="Times New Roman" w:hAnsi="Times New Roman" w:cs="Times New Roman"/>
        </w:rPr>
        <w:t>а</w:t>
      </w:r>
      <w:r w:rsidR="003669ED" w:rsidRPr="003669ED">
        <w:rPr>
          <w:rFonts w:ascii="Times New Roman" w:hAnsi="Times New Roman" w:cs="Times New Roman"/>
        </w:rPr>
        <w:t>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  <w:r w:rsidR="003669ED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3669ED" w:rsidRDefault="00D05EB8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F32262" w:rsidRPr="009F2078">
        <w:rPr>
          <w:rFonts w:ascii="Times New Roman" w:hAnsi="Times New Roman" w:cs="Times New Roman"/>
        </w:rPr>
        <w:t xml:space="preserve">c </w:t>
      </w:r>
      <w:r w:rsidR="003669ED" w:rsidRPr="003669ED">
        <w:rPr>
          <w:rFonts w:ascii="Times New Roman" w:hAnsi="Times New Roman" w:cs="Times New Roman"/>
        </w:rPr>
        <w:t>«30» января по «04» февраля 2023 года</w:t>
      </w:r>
      <w:r w:rsidR="00DE49F8" w:rsidRPr="009F2078">
        <w:rPr>
          <w:rFonts w:ascii="Times New Roman" w:hAnsi="Times New Roman" w:cs="Times New Roman"/>
        </w:rPr>
        <w:t>.</w:t>
      </w:r>
    </w:p>
    <w:p w:rsidR="003669ED" w:rsidRPr="003669ED" w:rsidRDefault="00C50789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3669ED">
        <w:rPr>
          <w:rFonts w:ascii="Times New Roman" w:hAnsi="Times New Roman" w:cs="Times New Roman"/>
        </w:rPr>
        <w:t xml:space="preserve">Заявки, </w:t>
      </w:r>
      <w:r w:rsidR="003669ED" w:rsidRPr="003669ED">
        <w:rPr>
          <w:rFonts w:ascii="Times New Roman" w:hAnsi="Times New Roman" w:cs="Times New Roman"/>
        </w:rPr>
        <w:t xml:space="preserve">электронные копии изданий, аннотации (для изданий на английском языке), квитанции об оплате организационного взноса подаются по адресу </w:t>
      </w:r>
      <w:hyperlink r:id="rId5" w:history="1">
        <w:r w:rsidR="003669ED" w:rsidRPr="003669ED">
          <w:rPr>
            <w:rFonts w:ascii="Times New Roman" w:hAnsi="Times New Roman" w:cs="Times New Roman"/>
          </w:rPr>
          <w:t>konkurs_artcollege@mail.ru</w:t>
        </w:r>
      </w:hyperlink>
      <w:r w:rsidR="003669ED" w:rsidRPr="003669ED">
        <w:rPr>
          <w:rFonts w:ascii="Times New Roman" w:hAnsi="Times New Roman" w:cs="Times New Roman"/>
        </w:rPr>
        <w:t xml:space="preserve"> до  25 декабря 2022 года. Оригинальные издания, копии изданий на бумажном носителе, участвующие в выставке принимаются до 27 января 2023 года по адресу: 690091 г. Владивосток, ул. </w:t>
      </w:r>
      <w:proofErr w:type="spellStart"/>
      <w:r w:rsidR="003669ED" w:rsidRPr="003669ED">
        <w:rPr>
          <w:rFonts w:ascii="Times New Roman" w:hAnsi="Times New Roman" w:cs="Times New Roman"/>
        </w:rPr>
        <w:t>Светланская</w:t>
      </w:r>
      <w:proofErr w:type="spellEnd"/>
      <w:r w:rsidR="003669ED" w:rsidRPr="003669ED">
        <w:rPr>
          <w:rFonts w:ascii="Times New Roman" w:hAnsi="Times New Roman" w:cs="Times New Roman"/>
        </w:rPr>
        <w:t>, д. 65А. (Издание должно быть получено не позднее 27 января 2023 г.)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6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lastRenderedPageBreak/>
        <w:t>4.1.5. Используя электронную почту и сайт </w:t>
      </w:r>
      <w:hyperlink r:id="rId7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="00171434">
        <w:rPr>
          <w:rStyle w:val="a5"/>
          <w:rFonts w:ascii="Times New Roman" w:hAnsi="Times New Roman" w:cs="Times New Roman"/>
          <w:color w:val="auto"/>
        </w:rPr>
        <w:t xml:space="preserve"> </w:t>
      </w:r>
      <w:r w:rsidRPr="00D05EB8">
        <w:rPr>
          <w:rFonts w:ascii="Times New Roman" w:hAnsi="Times New Roman" w:cs="Times New Roman"/>
        </w:rPr>
        <w:t>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8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9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0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3669ED">
        <w:rPr>
          <w:rFonts w:ascii="Times New Roman" w:hAnsi="Times New Roman" w:cs="Times New Roman"/>
        </w:rPr>
        <w:t>10</w:t>
      </w:r>
      <w:r w:rsidR="00950CE3" w:rsidRPr="009F2078">
        <w:rPr>
          <w:rFonts w:ascii="Times New Roman" w:hAnsi="Times New Roman" w:cs="Times New Roman"/>
        </w:rPr>
        <w:t>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3669ED">
        <w:rPr>
          <w:rFonts w:ascii="Times New Roman" w:hAnsi="Times New Roman" w:cs="Times New Roman"/>
        </w:rPr>
        <w:t>одна тысяча</w:t>
      </w:r>
      <w:r w:rsidR="00F32262" w:rsidRPr="009F2078">
        <w:rPr>
          <w:rFonts w:ascii="Times New Roman" w:hAnsi="Times New Roman" w:cs="Times New Roman"/>
        </w:rPr>
        <w:t>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A82AEF">
        <w:rPr>
          <w:rFonts w:ascii="Times New Roman" w:hAnsi="Times New Roman" w:cs="Times New Roman"/>
        </w:rPr>
        <w:t>25.12.2022</w:t>
      </w:r>
      <w:r w:rsidR="009F2078" w:rsidRPr="009F2078">
        <w:rPr>
          <w:rFonts w:ascii="Times New Roman" w:hAnsi="Times New Roman" w:cs="Times New Roman"/>
        </w:rPr>
        <w:t xml:space="preserve"> 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1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</w:t>
      </w:r>
      <w:r w:rsidRPr="00E40867">
        <w:rPr>
          <w:rFonts w:ascii="Times New Roman" w:hAnsi="Times New Roman" w:cs="Times New Roman"/>
        </w:rPr>
        <w:lastRenderedPageBreak/>
        <w:t>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A1CC5" w:rsidRDefault="000A1C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4" w:history="1">
        <w:r w:rsidR="00B355C8" w:rsidRPr="00B355C8">
          <w:rPr>
            <w:rStyle w:val="a5"/>
            <w:rFonts w:ascii="Times New Roman" w:hAnsi="Times New Roman"/>
            <w:sz w:val="28"/>
            <w:szCs w:val="28"/>
            <w:u w:val="none"/>
          </w:rPr>
          <w:t>konkurs_artcollege@mail.ru</w:t>
        </w:r>
      </w:hyperlink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3669ED" w:rsidRPr="003669ED">
        <w:rPr>
          <w:rFonts w:ascii="Times New Roman" w:hAnsi="Times New Roman" w:cs="Times New Roman"/>
          <w:sz w:val="28"/>
        </w:rPr>
        <w:t>Теория искусств, дизайна и культуры</w:t>
      </w:r>
      <w:r w:rsidRPr="00C50789">
        <w:rPr>
          <w:rFonts w:ascii="Times New Roman" w:hAnsi="Times New Roman" w:cs="Times New Roman"/>
          <w:sz w:val="28"/>
        </w:rPr>
        <w:t>»)</w:t>
      </w:r>
    </w:p>
    <w:p w:rsidR="003669ED" w:rsidRPr="003669ED" w:rsidRDefault="00B355C8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3669ED"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заявки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ЗАЯВКА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9ED">
        <w:rPr>
          <w:rFonts w:ascii="Times New Roman" w:hAnsi="Times New Roman" w:cs="Times New Roman"/>
          <w:b/>
        </w:rPr>
        <w:t xml:space="preserve">для участия в конкурсе-выставке «Теория искусств, дизайна и культуры»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3669ED">
        <w:rPr>
          <w:rFonts w:ascii="Times New Roman" w:hAnsi="Times New Roman" w:cs="Times New Roman"/>
          <w:b/>
          <w:bCs/>
        </w:rPr>
        <w:t>Microsoft</w:t>
      </w:r>
      <w:proofErr w:type="spellEnd"/>
      <w:r w:rsidRPr="003669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69ED">
        <w:rPr>
          <w:rFonts w:ascii="Times New Roman" w:hAnsi="Times New Roman" w:cs="Times New Roman"/>
          <w:b/>
          <w:bCs/>
        </w:rPr>
        <w:t>Word</w:t>
      </w:r>
      <w:proofErr w:type="spellEnd"/>
      <w:r w:rsidRPr="003669ED">
        <w:rPr>
          <w:rFonts w:ascii="Times New Roman" w:hAnsi="Times New Roman" w:cs="Times New Roman"/>
          <w:b/>
          <w:bCs/>
        </w:rPr>
        <w:t>, .</w:t>
      </w:r>
      <w:proofErr w:type="spellStart"/>
      <w:r w:rsidRPr="003669ED">
        <w:rPr>
          <w:rFonts w:ascii="Times New Roman" w:hAnsi="Times New Roman" w:cs="Times New Roman"/>
          <w:b/>
          <w:bCs/>
        </w:rPr>
        <w:t>doc</w:t>
      </w:r>
      <w:proofErr w:type="spellEnd"/>
      <w:r w:rsidRPr="003669ED">
        <w:rPr>
          <w:rFonts w:ascii="Times New Roman" w:hAnsi="Times New Roman" w:cs="Times New Roman"/>
          <w:b/>
          <w:bCs/>
        </w:rPr>
        <w:t>)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 xml:space="preserve">в ОРГКОМИТЕТ конкурса </w:t>
      </w:r>
      <w:r w:rsidRPr="003669ED">
        <w:rPr>
          <w:rFonts w:ascii="Times New Roman" w:hAnsi="Times New Roman" w:cs="Times New Roman"/>
          <w:b/>
          <w:bCs/>
          <w:color w:val="000000"/>
        </w:rPr>
        <w:t>до 25</w:t>
      </w:r>
      <w:r w:rsidRPr="003669ED">
        <w:rPr>
          <w:rFonts w:ascii="Times New Roman" w:hAnsi="Times New Roman" w:cs="Times New Roman"/>
          <w:b/>
          <w:bCs/>
        </w:rPr>
        <w:t>.12.2022 г.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 xml:space="preserve">по адресу  </w:t>
      </w:r>
      <w:hyperlink r:id="rId15" w:history="1">
        <w:r w:rsidRPr="003669ED">
          <w:rPr>
            <w:rStyle w:val="a5"/>
            <w:rFonts w:ascii="Times New Roman" w:hAnsi="Times New Roman" w:cs="Times New Roman"/>
            <w:sz w:val="28"/>
            <w:szCs w:val="28"/>
          </w:rPr>
          <w:t>konkurs_artcollege@mail.ru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669ED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Телефон для связи ___________________ 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669ED">
        <w:rPr>
          <w:rFonts w:ascii="Times New Roman" w:hAnsi="Times New Roman" w:cs="Times New Roman"/>
          <w:bCs/>
        </w:rPr>
        <w:t>e-</w:t>
      </w:r>
      <w:proofErr w:type="spellStart"/>
      <w:r w:rsidRPr="003669ED">
        <w:rPr>
          <w:rFonts w:ascii="Times New Roman" w:hAnsi="Times New Roman" w:cs="Times New Roman"/>
          <w:bCs/>
        </w:rPr>
        <w:t>mail</w:t>
      </w:r>
      <w:proofErr w:type="spellEnd"/>
      <w:r w:rsidRPr="003669ED">
        <w:rPr>
          <w:rFonts w:ascii="Times New Roman" w:hAnsi="Times New Roman" w:cs="Times New Roman"/>
          <w:bCs/>
        </w:rPr>
        <w:t>:_</w:t>
      </w:r>
      <w:proofErr w:type="gramEnd"/>
      <w:r w:rsidRPr="003669ED">
        <w:rPr>
          <w:rFonts w:ascii="Times New Roman" w:hAnsi="Times New Roman" w:cs="Times New Roman"/>
          <w:bCs/>
        </w:rPr>
        <w:t>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609"/>
        <w:gridCol w:w="1801"/>
        <w:gridCol w:w="1843"/>
        <w:gridCol w:w="1984"/>
        <w:gridCol w:w="3402"/>
      </w:tblGrid>
      <w:tr w:rsidR="003669ED" w:rsidRPr="003669ED" w:rsidTr="003669ED">
        <w:trPr>
          <w:cantSplit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АВТОР работы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(ФИО полностью, </w:t>
            </w: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звание автора (авторов)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ВЫХОДНЫЕ ДАННЫЕ</w:t>
            </w:r>
            <w:r w:rsidRPr="00366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(вид издания, название, год издания, кол-во стр.)</w:t>
            </w: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9ED" w:rsidRPr="003669ED" w:rsidTr="003669ED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b/>
                <w:sz w:val="16"/>
                <w:szCs w:val="16"/>
              </w:rPr>
              <w:t>ПРИМЕР</w:t>
            </w: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Приморский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краевой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художественный колледж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Иванов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Иванов И.Н. Основы эргономики в дизайне / И.Н. Иванов // Вестник «Территория новых возможностей». – Владивосток: Изд-во ВГУЭС, 2021. - №2. – С.150-165</w:t>
            </w:r>
          </w:p>
        </w:tc>
      </w:tr>
    </w:tbl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С условиями конкурса-выставки ознакомлен и согласен. Как автор даю согласие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Организатору и привлеченным третьим лицам на размещение конкурсной разработки (издания)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>в сети Интернет и других СМИ.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3669ED">
        <w:rPr>
          <w:rFonts w:ascii="Times New Roman" w:hAnsi="Times New Roman" w:cs="Times New Roman"/>
        </w:rPr>
        <w:tab/>
        <w:t xml:space="preserve">            </w:t>
      </w:r>
      <w:proofErr w:type="gramStart"/>
      <w:r w:rsidRPr="003669ED">
        <w:rPr>
          <w:rFonts w:ascii="Times New Roman" w:hAnsi="Times New Roman" w:cs="Times New Roman"/>
        </w:rPr>
        <w:t>№  пл.</w:t>
      </w:r>
      <w:proofErr w:type="gramEnd"/>
      <w:r w:rsidRPr="003669ED">
        <w:rPr>
          <w:rFonts w:ascii="Times New Roman" w:hAnsi="Times New Roman" w:cs="Times New Roman"/>
        </w:rPr>
        <w:t xml:space="preserve"> документа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Участник конкурса-выставки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b/>
        </w:rPr>
        <w:t>«Теория искусств, дизайна и культуры»</w:t>
      </w:r>
      <w:r w:rsidRPr="003669ED">
        <w:rPr>
          <w:rFonts w:ascii="Times New Roman" w:hAnsi="Times New Roman" w:cs="Times New Roman"/>
        </w:rPr>
        <w:t xml:space="preserve"> _________________ /_________________________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             ФИО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</w:p>
    <w:p w:rsid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аннотации</w:t>
      </w: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АННОТАЦИЯ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к разработке (изданию) ________________________________________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669E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название разработки, согласно выходным данным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название разработки (издания) на русском языке _____________________________________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669E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b/>
        </w:rPr>
        <w:t>Иванов Иван Николаевич</w:t>
      </w:r>
      <w:r w:rsidRPr="003669ED">
        <w:rPr>
          <w:rFonts w:ascii="Times New Roman" w:hAnsi="Times New Roman" w:cs="Times New Roman"/>
        </w:rPr>
        <w:t xml:space="preserve">,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преподаватель,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КГАПОУ «Приморский краевой художественный колледж»,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</w:rPr>
        <w:t>г. Владивосток, Россия; e-</w:t>
      </w:r>
      <w:proofErr w:type="spellStart"/>
      <w:r w:rsidRPr="003669ED">
        <w:rPr>
          <w:rFonts w:ascii="Times New Roman" w:hAnsi="Times New Roman" w:cs="Times New Roman"/>
        </w:rPr>
        <w:t>mail</w:t>
      </w:r>
      <w:proofErr w:type="spellEnd"/>
      <w:r w:rsidRPr="003669ED">
        <w:rPr>
          <w:rFonts w:ascii="Times New Roman" w:hAnsi="Times New Roman" w:cs="Times New Roman"/>
        </w:rPr>
        <w:t>: m***s@yandex.ru</w:t>
      </w:r>
    </w:p>
    <w:p w:rsidR="003669ED" w:rsidRPr="003669ED" w:rsidRDefault="003669ED" w:rsidP="003669ED">
      <w:pPr>
        <w:suppressAutoHyphens/>
        <w:spacing w:after="0"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after="0" w:line="240" w:lineRule="auto"/>
        <w:ind w:right="57" w:firstLine="709"/>
        <w:outlineLvl w:val="4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>.</w:t>
      </w:r>
    </w:p>
    <w:p w:rsidR="000A1CC5" w:rsidRPr="003669ED" w:rsidRDefault="000A1CC5" w:rsidP="00366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1CC5" w:rsidRPr="003669ED" w:rsidRDefault="000A1CC5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3A29" w:rsidRPr="003669ED" w:rsidRDefault="00183A29" w:rsidP="003669E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83A29" w:rsidRPr="003669ED" w:rsidSect="000A1CC5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7"/>
    <w:rsid w:val="00013C02"/>
    <w:rsid w:val="000A1CC5"/>
    <w:rsid w:val="00107DF9"/>
    <w:rsid w:val="001477D8"/>
    <w:rsid w:val="0016226B"/>
    <w:rsid w:val="00171434"/>
    <w:rsid w:val="00183A29"/>
    <w:rsid w:val="001A1546"/>
    <w:rsid w:val="001A2EA0"/>
    <w:rsid w:val="00227289"/>
    <w:rsid w:val="00325F2A"/>
    <w:rsid w:val="003669ED"/>
    <w:rsid w:val="00392574"/>
    <w:rsid w:val="004464B3"/>
    <w:rsid w:val="005223FB"/>
    <w:rsid w:val="005D0E0E"/>
    <w:rsid w:val="005E7369"/>
    <w:rsid w:val="005F47B3"/>
    <w:rsid w:val="007470C9"/>
    <w:rsid w:val="007A01C3"/>
    <w:rsid w:val="007C5D5B"/>
    <w:rsid w:val="008D4B8A"/>
    <w:rsid w:val="00905A7E"/>
    <w:rsid w:val="00950CE3"/>
    <w:rsid w:val="009F2078"/>
    <w:rsid w:val="00A02875"/>
    <w:rsid w:val="00A2736D"/>
    <w:rsid w:val="00A403BF"/>
    <w:rsid w:val="00A82AEF"/>
    <w:rsid w:val="00B3364A"/>
    <w:rsid w:val="00B355C8"/>
    <w:rsid w:val="00C13BB0"/>
    <w:rsid w:val="00C50789"/>
    <w:rsid w:val="00C72886"/>
    <w:rsid w:val="00CF68C2"/>
    <w:rsid w:val="00D05EB8"/>
    <w:rsid w:val="00DC6D8E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7DE1-4925-4829-A3EA-7464287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" TargetMode="External"/><Relationship Id="rId13" Type="http://schemas.openxmlformats.org/officeDocument/2006/relationships/hyperlink" Target="https://vhu-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idei.ru/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hu-v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hyperlink" Target="mailto:konkurs_artcollege@mail.ru" TargetMode="External"/><Relationship Id="rId15" Type="http://schemas.openxmlformats.org/officeDocument/2006/relationships/hyperlink" Target="mailto:konkurs_artcollege@mail.ru" TargetMode="Externa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idei.ru/" TargetMode="External"/><Relationship Id="rId1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2</cp:revision>
  <cp:lastPrinted>2022-05-30T03:16:00Z</cp:lastPrinted>
  <dcterms:created xsi:type="dcterms:W3CDTF">2022-10-12T12:24:00Z</dcterms:created>
  <dcterms:modified xsi:type="dcterms:W3CDTF">2022-10-12T12:24:00Z</dcterms:modified>
</cp:coreProperties>
</file>