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о проведении опроса </w:t>
      </w:r>
      <w:r>
        <w:rPr>
          <w:rFonts w:ascii="Times New Roman" w:hAnsi="Times New Roman"/>
          <w:b w:val="1"/>
          <w:sz w:val="28"/>
        </w:rPr>
        <w:t>сотрудников</w:t>
      </w:r>
      <w:r>
        <w:rPr>
          <w:rFonts w:ascii="Times New Roman" w:hAnsi="Times New Roman"/>
          <w:b w:val="1"/>
          <w:sz w:val="28"/>
        </w:rPr>
        <w:t xml:space="preserve"> об удовлетворенности качеством образования по образовательной программе среднего профессионального образования</w:t>
      </w:r>
    </w:p>
    <w:p w14:paraId="02000000">
      <w:pPr>
        <w:rPr>
          <w:rFonts w:ascii="Times New Roman" w:hAnsi="Times New Roman"/>
          <w:sz w:val="28"/>
        </w:rPr>
      </w:pPr>
    </w:p>
    <w:p w14:paraId="0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На основании приказа № 660/306/448 от 24.04.2023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</w:t>
      </w:r>
      <w:r>
        <w:rPr>
          <w:rFonts w:ascii="Times New Roman" w:hAnsi="Times New Roman"/>
          <w:sz w:val="28"/>
        </w:rPr>
        <w:t>аккредитационного</w:t>
      </w:r>
      <w:r>
        <w:rPr>
          <w:rFonts w:ascii="Times New Roman" w:hAnsi="Times New Roman"/>
          <w:sz w:val="28"/>
        </w:rPr>
        <w:t xml:space="preserve"> мониторинга системы образования»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раевое государственное автономное профессиональное образовательное учреждение  «Приморский краевой художественный колледж»</w:t>
      </w:r>
      <w:r>
        <w:rPr>
          <w:rFonts w:ascii="Times New Roman" w:hAnsi="Times New Roman"/>
          <w:sz w:val="28"/>
        </w:rPr>
        <w:t xml:space="preserve"> провел опрос</w:t>
      </w:r>
      <w:r>
        <w:rPr>
          <w:rFonts w:ascii="Times New Roman" w:hAnsi="Times New Roman"/>
          <w:sz w:val="28"/>
        </w:rPr>
        <w:t xml:space="preserve"> сотрудников </w:t>
      </w:r>
      <w:r>
        <w:rPr>
          <w:rFonts w:ascii="Times New Roman" w:hAnsi="Times New Roman"/>
          <w:sz w:val="28"/>
        </w:rPr>
        <w:t xml:space="preserve">об удовлетворенности качеством образования </w:t>
      </w:r>
      <w:r>
        <w:rPr>
          <w:rFonts w:ascii="Times New Roman" w:hAnsi="Times New Roman"/>
          <w:sz w:val="28"/>
        </w:rPr>
        <w:t xml:space="preserve">выпускников </w:t>
      </w:r>
      <w:r>
        <w:rPr>
          <w:rFonts w:ascii="Times New Roman" w:hAnsi="Times New Roman"/>
          <w:sz w:val="28"/>
        </w:rPr>
        <w:t>по образовательной программ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 xml:space="preserve"> среднего профессионального образования</w:t>
      </w:r>
      <w:r>
        <w:rPr>
          <w:rFonts w:ascii="Times New Roman" w:hAnsi="Times New Roman"/>
          <w:sz w:val="28"/>
        </w:rPr>
        <w:t>, реализуемых</w:t>
      </w:r>
      <w:r>
        <w:rPr>
          <w:rFonts w:ascii="Times New Roman" w:hAnsi="Times New Roman"/>
          <w:sz w:val="28"/>
        </w:rPr>
        <w:t xml:space="preserve"> в образовательном учреждении.</w:t>
      </w:r>
    </w:p>
    <w:p w14:paraId="0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В рамках организации внутренней системы оценки качества образования (далее — ВСОКО) и с целью получения значений показателей по </w:t>
      </w:r>
      <w:r>
        <w:rPr>
          <w:rFonts w:ascii="Times New Roman" w:hAnsi="Times New Roman"/>
          <w:sz w:val="28"/>
        </w:rPr>
        <w:t>аккредитационному</w:t>
      </w:r>
      <w:r>
        <w:rPr>
          <w:rFonts w:ascii="Times New Roman" w:hAnsi="Times New Roman"/>
          <w:sz w:val="28"/>
        </w:rPr>
        <w:t xml:space="preserve"> показателю (АП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аккредитационного</w:t>
      </w:r>
      <w:r>
        <w:rPr>
          <w:rFonts w:ascii="Times New Roman" w:hAnsi="Times New Roman"/>
          <w:sz w:val="28"/>
        </w:rPr>
        <w:t xml:space="preserve"> мониторинга в системе СПО был проведен анонимный опрос </w:t>
      </w:r>
      <w:r>
        <w:rPr>
          <w:rFonts w:ascii="Times New Roman" w:hAnsi="Times New Roman"/>
          <w:sz w:val="28"/>
        </w:rPr>
        <w:t>сотрудников</w:t>
      </w:r>
      <w:r>
        <w:rPr>
          <w:rFonts w:ascii="Times New Roman" w:hAnsi="Times New Roman"/>
          <w:sz w:val="28"/>
        </w:rPr>
        <w:t xml:space="preserve"> по оценке удовлетворенности условиями и организацией образовательной деятельности в рамках реализации образовательных программ: </w:t>
      </w:r>
    </w:p>
    <w:p w14:paraId="0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54.02.01 «Дизайн» (по отраслям), 54.02.05 «Живопись» (по видам).</w:t>
      </w:r>
    </w:p>
    <w:p w14:paraId="0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опросе приняло участие </w:t>
      </w:r>
      <w:r>
        <w:rPr>
          <w:rFonts w:ascii="Times New Roman" w:hAnsi="Times New Roman"/>
          <w:sz w:val="28"/>
        </w:rPr>
        <w:t>46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– преподаватели, учебно-вспомогательный персонал –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, сотрудники – 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).</w:t>
      </w:r>
      <w:r>
        <w:rPr>
          <w:rFonts w:ascii="Times New Roman" w:hAnsi="Times New Roman"/>
          <w:sz w:val="28"/>
        </w:rPr>
        <w:t xml:space="preserve"> </w:t>
      </w:r>
    </w:p>
    <w:p w14:paraId="0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 полученных результатов: </w:t>
      </w:r>
    </w:p>
    <w:p w14:paraId="08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Открытость, полнота, доступность информации, размещенной в колледже на информационных стендах</w:t>
      </w:r>
      <w:r>
        <w:rPr>
          <w:rFonts w:ascii="Times New Roman" w:hAnsi="Times New Roman"/>
          <w:color w:val="333333"/>
          <w:sz w:val="28"/>
          <w:highlight w:val="white"/>
        </w:rPr>
        <w:t>, ТВ</w:t>
      </w:r>
      <w:r>
        <w:rPr>
          <w:rFonts w:ascii="Arial" w:hAnsi="Arial"/>
          <w:color w:val="333333"/>
          <w:sz w:val="21"/>
          <w:highlight w:val="white"/>
        </w:rPr>
        <w:t xml:space="preserve"> </w:t>
      </w:r>
      <w:r>
        <w:rPr>
          <w:rFonts w:ascii="Times New Roman" w:hAnsi="Times New Roman"/>
          <w:color w:val="333333"/>
          <w:sz w:val="28"/>
          <w:highlight w:val="white"/>
        </w:rPr>
        <w:t>панелях</w:t>
      </w:r>
      <w:r>
        <w:rPr>
          <w:rFonts w:ascii="Times New Roman" w:hAnsi="Times New Roman"/>
          <w:sz w:val="28"/>
        </w:rPr>
        <w:t xml:space="preserve"> – 8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% </w:t>
      </w:r>
      <w:bookmarkStart w:id="1" w:name="_Hlk147845763"/>
      <w:r>
        <w:rPr>
          <w:rFonts w:ascii="Times New Roman" w:hAnsi="Times New Roman"/>
          <w:sz w:val="28"/>
        </w:rPr>
        <w:t xml:space="preserve">опрошенных считают, что </w:t>
      </w:r>
      <w:r>
        <w:rPr>
          <w:rFonts w:ascii="Times New Roman" w:hAnsi="Times New Roman"/>
          <w:sz w:val="28"/>
        </w:rPr>
        <w:t>соблюдены требования по открытости информации.</w:t>
      </w:r>
      <w:bookmarkEnd w:id="1"/>
    </w:p>
    <w:p w14:paraId="09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  <w:highlight w:val="white"/>
        </w:rPr>
        <w:t>Открытость, полнота, доступность информации, размещенной на сайте колледжа</w:t>
      </w:r>
      <w:r>
        <w:rPr>
          <w:rFonts w:ascii="Times New Roman" w:hAnsi="Times New Roman"/>
          <w:color w:val="333333"/>
          <w:sz w:val="28"/>
          <w:highlight w:val="white"/>
        </w:rPr>
        <w:t xml:space="preserve"> – 8</w:t>
      </w:r>
      <w:r>
        <w:rPr>
          <w:rFonts w:ascii="Times New Roman" w:hAnsi="Times New Roman"/>
          <w:color w:val="333333"/>
          <w:sz w:val="28"/>
          <w:highlight w:val="white"/>
        </w:rPr>
        <w:t>8</w:t>
      </w:r>
      <w:r>
        <w:rPr>
          <w:rFonts w:ascii="Times New Roman" w:hAnsi="Times New Roman"/>
          <w:color w:val="333333"/>
          <w:sz w:val="28"/>
          <w:highlight w:val="white"/>
        </w:rPr>
        <w:t xml:space="preserve"> % </w:t>
      </w:r>
      <w:r>
        <w:rPr>
          <w:rFonts w:ascii="Times New Roman" w:hAnsi="Times New Roman"/>
          <w:sz w:val="28"/>
        </w:rPr>
        <w:t>опрошенных</w:t>
      </w:r>
      <w:r>
        <w:rPr>
          <w:rFonts w:ascii="Times New Roman" w:hAnsi="Times New Roman"/>
          <w:sz w:val="28"/>
        </w:rPr>
        <w:t xml:space="preserve"> считают, что соблюдены требования по открытости информации.</w:t>
      </w:r>
    </w:p>
    <w:p w14:paraId="0A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  <w:highlight w:val="white"/>
        </w:rPr>
        <w:t>Наличие и понятность навигации</w:t>
      </w:r>
      <w:r>
        <w:rPr>
          <w:rFonts w:ascii="Times New Roman" w:hAnsi="Times New Roman"/>
          <w:color w:val="333333"/>
          <w:sz w:val="28"/>
          <w:highlight w:val="white"/>
        </w:rPr>
        <w:t xml:space="preserve"> внутри организации – 7</w:t>
      </w:r>
      <w:r>
        <w:rPr>
          <w:rFonts w:ascii="Times New Roman" w:hAnsi="Times New Roman"/>
          <w:color w:val="333333"/>
          <w:sz w:val="28"/>
          <w:highlight w:val="white"/>
        </w:rPr>
        <w:t>5</w:t>
      </w:r>
      <w:r>
        <w:rPr>
          <w:rFonts w:ascii="Times New Roman" w:hAnsi="Times New Roman"/>
          <w:color w:val="333333"/>
          <w:sz w:val="28"/>
          <w:highlight w:val="white"/>
        </w:rPr>
        <w:t xml:space="preserve"> % опрошенных удовлетворены тем, как размещены схемы эвакуации, указатели направления движения.</w:t>
      </w:r>
    </w:p>
    <w:p w14:paraId="0B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  <w:highlight w:val="white"/>
        </w:rPr>
        <w:t xml:space="preserve">Высокий показатель вежливости и доброжелательности работников администрации, учебной части и преподавателей (77,2%) напрямую связан с готовностью </w:t>
      </w:r>
      <w:r>
        <w:rPr>
          <w:rFonts w:ascii="Times New Roman" w:hAnsi="Times New Roman"/>
          <w:color w:val="333333"/>
          <w:sz w:val="28"/>
          <w:highlight w:val="white"/>
        </w:rPr>
        <w:t>рекомендовать</w:t>
      </w:r>
      <w:r>
        <w:rPr>
          <w:rFonts w:ascii="Times New Roman" w:hAnsi="Times New Roman"/>
          <w:color w:val="333333"/>
          <w:sz w:val="28"/>
          <w:highlight w:val="white"/>
        </w:rPr>
        <w:t xml:space="preserve"> </w:t>
      </w:r>
      <w:r>
        <w:rPr>
          <w:rFonts w:ascii="Times New Roman" w:hAnsi="Times New Roman"/>
          <w:color w:val="333333"/>
          <w:sz w:val="28"/>
          <w:highlight w:val="white"/>
        </w:rPr>
        <w:t xml:space="preserve">КГАПОУ </w:t>
      </w:r>
      <w:r>
        <w:rPr>
          <w:rFonts w:ascii="Times New Roman" w:hAnsi="Times New Roman"/>
          <w:sz w:val="28"/>
        </w:rPr>
        <w:t>«Приморский краевой художественный колледж</w:t>
      </w:r>
      <w:r>
        <w:rPr>
          <w:rFonts w:ascii="Times New Roman" w:hAnsi="Times New Roman"/>
          <w:color w:val="333333"/>
          <w:sz w:val="28"/>
          <w:highlight w:val="white"/>
        </w:rPr>
        <w:t>», как учебное заведение среднего профессионального образования своим знакомым и друзьям.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drawing>
          <wp:inline>
            <wp:extent cx="5554980" cy="289560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5554980" cy="28956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E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Удобный график работы и </w:t>
      </w:r>
      <w:r>
        <w:rPr>
          <w:rFonts w:ascii="Times New Roman" w:hAnsi="Times New Roman"/>
          <w:sz w:val="28"/>
        </w:rPr>
        <w:t xml:space="preserve">организации </w:t>
      </w:r>
      <w:r>
        <w:rPr>
          <w:rFonts w:ascii="Times New Roman" w:hAnsi="Times New Roman"/>
          <w:sz w:val="28"/>
        </w:rPr>
        <w:t xml:space="preserve">образовательного процесса также был положительно отмечен </w:t>
      </w:r>
      <w:r>
        <w:rPr>
          <w:rFonts w:ascii="Times New Roman" w:hAnsi="Times New Roman"/>
          <w:sz w:val="28"/>
        </w:rPr>
        <w:t>опрашиваемыми</w:t>
      </w:r>
      <w:r>
        <w:rPr>
          <w:rFonts w:ascii="Times New Roman" w:hAnsi="Times New Roman"/>
          <w:sz w:val="28"/>
        </w:rPr>
        <w:t xml:space="preserve"> – 81,2%.</w:t>
      </w:r>
    </w:p>
    <w:p w14:paraId="0F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Наличие зоны отдыха (ожидания) – 63 % </w:t>
      </w:r>
      <w:r>
        <w:rPr>
          <w:rFonts w:ascii="Times New Roman" w:hAnsi="Times New Roman"/>
          <w:sz w:val="28"/>
        </w:rPr>
        <w:t>опрошенных</w:t>
      </w:r>
      <w:r>
        <w:rPr>
          <w:rFonts w:ascii="Times New Roman" w:hAnsi="Times New Roman"/>
          <w:sz w:val="28"/>
        </w:rPr>
        <w:t xml:space="preserve"> считают, что в колледже </w:t>
      </w:r>
      <w:r>
        <w:rPr>
          <w:rFonts w:ascii="Times New Roman" w:hAnsi="Times New Roman"/>
          <w:sz w:val="28"/>
        </w:rPr>
        <w:t>желательно</w:t>
      </w:r>
      <w:r>
        <w:rPr>
          <w:rFonts w:ascii="Times New Roman" w:hAnsi="Times New Roman"/>
          <w:sz w:val="28"/>
        </w:rPr>
        <w:t xml:space="preserve"> организ</w:t>
      </w:r>
      <w:r>
        <w:rPr>
          <w:rFonts w:ascii="Times New Roman" w:hAnsi="Times New Roman"/>
          <w:sz w:val="28"/>
        </w:rPr>
        <w:t>овать</w:t>
      </w:r>
      <w:r>
        <w:rPr>
          <w:rFonts w:ascii="Times New Roman" w:hAnsi="Times New Roman"/>
          <w:sz w:val="28"/>
        </w:rPr>
        <w:t xml:space="preserve"> зон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отдыха. </w:t>
      </w:r>
      <w:r>
        <w:rPr>
          <w:rFonts w:ascii="Times New Roman" w:hAnsi="Times New Roman"/>
          <w:sz w:val="28"/>
        </w:rPr>
        <w:t>Этот</w:t>
      </w:r>
      <w:r>
        <w:rPr>
          <w:rFonts w:ascii="Times New Roman" w:hAnsi="Times New Roman"/>
          <w:sz w:val="28"/>
        </w:rPr>
        <w:t xml:space="preserve"> результат дает повод администрации учреждения искать решени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для организации пространства,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оторое </w:t>
      </w:r>
      <w:r>
        <w:rPr>
          <w:rFonts w:ascii="Times New Roman" w:hAnsi="Times New Roman"/>
          <w:sz w:val="28"/>
        </w:rPr>
        <w:t>осложн</w:t>
      </w:r>
      <w:r>
        <w:rPr>
          <w:rFonts w:ascii="Times New Roman" w:hAnsi="Times New Roman"/>
          <w:sz w:val="28"/>
        </w:rPr>
        <w:t>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нехваткой площадей и </w:t>
      </w:r>
      <w:r>
        <w:rPr>
          <w:rFonts w:ascii="Times New Roman" w:hAnsi="Times New Roman"/>
          <w:sz w:val="28"/>
        </w:rPr>
        <w:t>ограничениями и требованиями к зданию колледжа, как объекту исторического наследия.</w:t>
      </w:r>
      <w:r>
        <w:rPr>
          <w:rFonts w:ascii="Times New Roman" w:hAnsi="Times New Roman"/>
          <w:sz w:val="28"/>
        </w:rPr>
        <w:t xml:space="preserve"> </w:t>
      </w:r>
    </w:p>
    <w:p w14:paraId="10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 на вопрос «Ваши предложения по улучшению качества оказываемых услуг» дали 26% опрашиваемых. Это является показателем того, что коллектив образовательного учреждения</w:t>
      </w:r>
      <w:r>
        <w:rPr>
          <w:rFonts w:ascii="Times New Roman" w:hAnsi="Times New Roman"/>
          <w:sz w:val="28"/>
        </w:rPr>
        <w:t xml:space="preserve"> готов к сотрудничеству с администрацией и учебной частью, видит и знает результаты деятельности, уверен, что у колледжа есть перспективы для развития. </w:t>
      </w:r>
    </w:p>
    <w:p w14:paraId="11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опроса сотрудников образовательного учреждения позволяет эффективно проводить внутреннюю оценку качества образовательной услуги.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bookmarkStart w:id="2" w:name="_GoBack"/>
      <w:bookmarkEnd w:id="2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2023-11-23T02:29:59Z</dcterms:modified>
</cp:coreProperties>
</file>